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D3" w:rsidRPr="00A54B3D" w:rsidRDefault="00860DD3" w:rsidP="00C22CE2">
      <w:pPr>
        <w:tabs>
          <w:tab w:val="left" w:pos="709"/>
        </w:tabs>
        <w:suppressAutoHyphens/>
        <w:spacing w:after="0"/>
        <w:jc w:val="center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A54B3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          </w:t>
      </w:r>
    </w:p>
    <w:tbl>
      <w:tblPr>
        <w:tblW w:w="9417" w:type="dxa"/>
        <w:tblInd w:w="-47" w:type="dxa"/>
        <w:tblLook w:val="0000" w:firstRow="0" w:lastRow="0" w:firstColumn="0" w:lastColumn="0" w:noHBand="0" w:noVBand="0"/>
      </w:tblPr>
      <w:tblGrid>
        <w:gridCol w:w="9448"/>
        <w:gridCol w:w="222"/>
      </w:tblGrid>
      <w:tr w:rsidR="00A54B3D" w:rsidRPr="00122A7B" w:rsidTr="009B1445">
        <w:trPr>
          <w:trHeight w:val="714"/>
        </w:trPr>
        <w:tc>
          <w:tcPr>
            <w:tcW w:w="9181" w:type="dxa"/>
          </w:tcPr>
          <w:p w:rsidR="00860DD3" w:rsidRPr="00122A7B" w:rsidRDefault="00DF51AD" w:rsidP="00DF51AD">
            <w:pPr>
              <w:tabs>
                <w:tab w:val="left" w:pos="42"/>
              </w:tabs>
              <w:suppressAutoHyphens/>
              <w:spacing w:after="0"/>
              <w:ind w:left="42" w:right="210"/>
              <w:jc w:val="center"/>
              <w:rPr>
                <w:rFonts w:ascii="Garamond" w:eastAsia="Calibri" w:hAnsi="Garamond" w:cs="Times New Roman"/>
                <w:b/>
                <w:color w:val="2F5496" w:themeColor="accent5" w:themeShade="BF"/>
                <w:lang w:eastAsia="ar-SA"/>
              </w:rPr>
            </w:pPr>
            <w:r>
              <w:rPr>
                <w:rFonts w:ascii="Garamond" w:eastAsia="Calibri" w:hAnsi="Garamond" w:cs="Times New Roman"/>
                <w:b/>
                <w:noProof/>
                <w:color w:val="2F5496" w:themeColor="accent5" w:themeShade="BF"/>
                <w:lang w:eastAsia="ru-RU"/>
              </w:rPr>
              <w:drawing>
                <wp:inline distT="0" distB="0" distL="0" distR="0" wp14:anchorId="7336757E" wp14:editId="0B4658F0">
                  <wp:extent cx="5702224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АННЕР 1920х200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224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860DD3" w:rsidRPr="00122A7B" w:rsidRDefault="00860DD3" w:rsidP="00C22CE2">
            <w:pPr>
              <w:tabs>
                <w:tab w:val="left" w:pos="42"/>
              </w:tabs>
              <w:suppressAutoHyphens/>
              <w:spacing w:after="0"/>
              <w:ind w:left="42" w:right="210"/>
              <w:jc w:val="right"/>
              <w:rPr>
                <w:rFonts w:ascii="Garamond" w:eastAsia="Calibri" w:hAnsi="Garamond" w:cs="Times New Roman"/>
                <w:b/>
                <w:color w:val="2F5496" w:themeColor="accent5" w:themeShade="BF"/>
                <w:lang w:eastAsia="ar-SA"/>
              </w:rPr>
            </w:pPr>
          </w:p>
        </w:tc>
      </w:tr>
    </w:tbl>
    <w:p w:rsidR="002D3BCF" w:rsidRPr="00122A7B" w:rsidRDefault="002D3BCF" w:rsidP="0043023C">
      <w:pPr>
        <w:tabs>
          <w:tab w:val="left" w:pos="142"/>
        </w:tabs>
        <w:spacing w:after="0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</w:p>
    <w:p w:rsidR="00DB34FD" w:rsidRPr="00122A7B" w:rsidRDefault="00DB34FD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Цели в области устойчивого развития (ЦУР) утверждены ООН в 2015 году, и сегодня по этой парадигме работает большинство компаний в развитых странах мира. Ее суть — переход от модели приоритета финансовой прибыли и краткосрочных целей к ресурсосберегающему, справедливому, взаимовыгодному развитию государств, бизнеса, гражданского общества, где на первое место выходит человек и его будущее. </w:t>
      </w:r>
    </w:p>
    <w:p w:rsidR="00DB34FD" w:rsidRPr="00122A7B" w:rsidRDefault="00DB34FD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Опираясь на цели в области устойчивого развития, бизнес, власть и общество способны решать глобальные задачи: сохранение экосистем, адаптация к изменениям климата, борьба с бедностью, равный доступ к ресурсам</w:t>
      </w:r>
      <w:r w:rsidR="00617B73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,</w:t>
      </w:r>
      <w:r w:rsidR="000E061D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равные возможности</w:t>
      </w:r>
      <w:r w:rsidR="00617B73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и другие.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EF072D" w:rsidRPr="00122A7B" w:rsidRDefault="00EF072D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2D3BCF" w:rsidRPr="00122A7B" w:rsidRDefault="00EF072D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О КОНФЕРЕНЦИИ</w:t>
      </w:r>
    </w:p>
    <w:p w:rsidR="00EF072D" w:rsidRPr="00122A7B" w:rsidRDefault="00EF072D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DB34FD" w:rsidRPr="00122A7B" w:rsidRDefault="00D56641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16 </w:t>
      </w:r>
      <w:r w:rsidR="00617B73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с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ентябр</w:t>
      </w: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я 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2021</w:t>
      </w:r>
      <w:r w:rsidR="002D3BCF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года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на </w:t>
      </w:r>
      <w:r w:rsidR="007F3586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Первой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Сибирской</w:t>
      </w:r>
      <w:r w:rsidR="00EF072D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региональной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к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онференции</w:t>
      </w:r>
      <w:r w:rsidR="00EF072D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по устойчивому развитию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информационно-аналитический п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ортал </w:t>
      </w:r>
      <w:hyperlink r:id="rId7" w:history="1">
        <w:r w:rsidR="002D3BCF" w:rsidRPr="00122A7B">
          <w:rPr>
            <w:rStyle w:val="a6"/>
            <w:rFonts w:ascii="Garamond" w:eastAsia="Times New Roman" w:hAnsi="Garamond" w:cs="Times New Roman"/>
            <w:b/>
            <w:color w:val="2F5496" w:themeColor="accent5" w:themeShade="BF"/>
            <w:lang w:eastAsia="ru-RU"/>
          </w:rPr>
          <w:t>Infopro54</w:t>
        </w:r>
      </w:hyperlink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редлагает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о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бсудить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следующие вопросы в рамках парадигмы «Цели в области устойчивого развития»:</w:t>
      </w:r>
    </w:p>
    <w:p w:rsidR="00DB34FD" w:rsidRPr="00122A7B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Есть ли необходимость в формировании региональных, городских практик в области </w:t>
      </w:r>
      <w:r w:rsid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 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устойчивого развития? Может ли бизнес принимать в них участие</w:t>
      </w:r>
      <w:r w:rsidR="00412584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;</w:t>
      </w:r>
    </w:p>
    <w:p w:rsidR="00DB34FD" w:rsidRPr="00122A7B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Как проходит синхронизация мировых </w:t>
      </w:r>
      <w:r w:rsidR="00412584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трендов с приоритетами компаний</w:t>
      </w:r>
      <w:r w:rsidR="005A4489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;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DB34FD" w:rsidRPr="00122A7B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Какие проекты в рамках ЦУР сегодня наибо</w:t>
      </w:r>
      <w:r w:rsidR="005A4489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лее перспективны для реализации;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E85898" w:rsidRPr="00122A7B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Достаточна ли поддержка государства для их воплощения в жизнь</w:t>
      </w:r>
      <w:r w:rsidR="005A4489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;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E85898" w:rsidRPr="00122A7B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Какие изменения происходят в компании после внедрения ESG </w:t>
      </w:r>
      <w:r w:rsidR="005A4489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и ЦУР-ориентированных </w:t>
      </w:r>
      <w:r w:rsidR="00EF072D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        </w:t>
      </w:r>
      <w:r w:rsidR="005A4489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элементов;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2D3BCF" w:rsidRPr="00122A7B" w:rsidRDefault="002D3BCF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ind w:left="284" w:right="284" w:hanging="142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Готов ли бизнес Сибири к работе в новых условиях; </w:t>
      </w:r>
    </w:p>
    <w:p w:rsidR="00EF072D" w:rsidRPr="00122A7B" w:rsidRDefault="00EF072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Вклад НКО в Цели устойчивого развития;</w:t>
      </w:r>
    </w:p>
    <w:p w:rsidR="00DF51AD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С какими проблемами сталкиваются компании при их внедрении и как их решают? </w:t>
      </w:r>
      <w:r w:rsidR="00EF072D" w:rsidRP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    </w:t>
      </w:r>
    </w:p>
    <w:p w:rsidR="00DB34FD" w:rsidRPr="00DF51AD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142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>Опыт международных и российских компаний.</w:t>
      </w:r>
    </w:p>
    <w:p w:rsidR="0087658A" w:rsidRPr="00122A7B" w:rsidRDefault="0087658A" w:rsidP="000567AE">
      <w:pPr>
        <w:tabs>
          <w:tab w:val="left" w:pos="142"/>
        </w:tabs>
        <w:spacing w:after="0" w:line="240" w:lineRule="auto"/>
        <w:ind w:left="284" w:right="284" w:hanging="142"/>
        <w:contextualSpacing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EE6770" w:rsidRPr="006E3F92" w:rsidRDefault="00EE6770" w:rsidP="00DF51AD">
      <w:pPr>
        <w:tabs>
          <w:tab w:val="left" w:pos="142"/>
        </w:tabs>
        <w:spacing w:after="0" w:line="240" w:lineRule="auto"/>
        <w:ind w:left="142" w:right="284"/>
        <w:contextualSpacing/>
        <w:rPr>
          <w:rFonts w:ascii="Garamond" w:eastAsia="Times New Roman" w:hAnsi="Garamond" w:cs="Times New Roman"/>
          <w:color w:val="2F5496" w:themeColor="accent5" w:themeShade="BF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ГЕНЕРАЛЬНЫЙ </w:t>
      </w:r>
      <w:r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ПАРТНЕР:</w:t>
      </w:r>
      <w:r w:rsidR="006E3F92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proofErr w:type="spellStart"/>
      <w:r w:rsidRPr="006E3F92">
        <w:rPr>
          <w:rFonts w:ascii="Garamond" w:eastAsia="Times New Roman" w:hAnsi="Garamond" w:cs="Times New Roman"/>
          <w:color w:val="2F5496" w:themeColor="accent5" w:themeShade="BF"/>
          <w:sz w:val="28"/>
          <w:szCs w:val="28"/>
          <w:lang w:eastAsia="ru-RU"/>
        </w:rPr>
        <w:t>PepsiCo</w:t>
      </w:r>
      <w:proofErr w:type="spellEnd"/>
      <w:r w:rsidRPr="006E3F92">
        <w:rPr>
          <w:rFonts w:ascii="Garamond" w:eastAsia="Times New Roman" w:hAnsi="Garamond" w:cs="Times New Roman"/>
          <w:color w:val="2F5496" w:themeColor="accent5" w:themeShade="BF"/>
          <w:sz w:val="28"/>
          <w:szCs w:val="28"/>
          <w:lang w:eastAsia="ru-RU"/>
        </w:rPr>
        <w:t xml:space="preserve"> Россия</w:t>
      </w:r>
    </w:p>
    <w:p w:rsidR="00EE6770" w:rsidRDefault="00EE6770" w:rsidP="00DF51AD">
      <w:pPr>
        <w:tabs>
          <w:tab w:val="left" w:pos="142"/>
        </w:tabs>
        <w:spacing w:after="0" w:line="240" w:lineRule="auto"/>
        <w:ind w:left="142" w:right="284"/>
        <w:contextualSpacing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9B1445" w:rsidRDefault="00B036DF" w:rsidP="00DF51AD">
      <w:pPr>
        <w:tabs>
          <w:tab w:val="left" w:pos="142"/>
        </w:tabs>
        <w:spacing w:after="0" w:line="240" w:lineRule="auto"/>
        <w:ind w:left="142" w:right="284"/>
        <w:contextualSpacing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</w:t>
      </w:r>
      <w:r w:rsidR="00457726"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АР</w:t>
      </w:r>
      <w:r w:rsidR="006E3F92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ТНЕРЫ</w:t>
      </w:r>
      <w:r w:rsidR="00AF4922"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: </w:t>
      </w:r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Новосибирский филиал </w:t>
      </w:r>
      <w:proofErr w:type="spellStart"/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Россельхозбанка</w:t>
      </w:r>
      <w:proofErr w:type="spellEnd"/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r w:rsidR="00C22CE2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ООО «Пивоваренная компания «Балтика», </w:t>
      </w:r>
      <w:r w:rsidR="00AF4922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Аффилированные компании «Филип Моррис Интернэшнл» в России, </w:t>
      </w:r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ООО «Сибирское стекло»,</w:t>
      </w:r>
      <w:r w:rsid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="00C22CE2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АО «Сибирский Антрацит»</w:t>
      </w:r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r w:rsidR="00EE6770" w:rsidRPr="009B1445">
        <w:rPr>
          <w:rFonts w:ascii="Garamond" w:hAnsi="Garamond"/>
          <w:color w:val="2F5496" w:themeColor="accent5" w:themeShade="BF"/>
          <w:shd w:val="clear" w:color="auto" w:fill="FFFFFF"/>
        </w:rPr>
        <w:t>ПАО «Магнит»,</w:t>
      </w:r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ООО «</w:t>
      </w:r>
      <w:proofErr w:type="spellStart"/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Экорекс</w:t>
      </w:r>
      <w:proofErr w:type="spellEnd"/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-Металл», </w:t>
      </w:r>
    </w:p>
    <w:p w:rsidR="00462D84" w:rsidRPr="00EE6770" w:rsidRDefault="00EE6770" w:rsidP="00DF51AD">
      <w:pPr>
        <w:tabs>
          <w:tab w:val="left" w:pos="142"/>
        </w:tabs>
        <w:spacing w:after="0" w:line="240" w:lineRule="auto"/>
        <w:ind w:left="142" w:right="284"/>
        <w:contextualSpacing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ПАО «Магнитогорский металлургический комбинат»,</w:t>
      </w:r>
      <w:r w:rsidRPr="00EE6770">
        <w:rPr>
          <w:color w:val="2F5496" w:themeColor="accent5" w:themeShade="BF"/>
        </w:rPr>
        <w:t xml:space="preserve"> </w:t>
      </w:r>
      <w:proofErr w:type="spell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Mars</w:t>
      </w:r>
      <w:proofErr w:type="spellEnd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proofErr w:type="spell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Petcare</w:t>
      </w:r>
      <w:proofErr w:type="spellEnd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в России, Группа компаний </w:t>
      </w:r>
      <w:proofErr w:type="spell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Ingka</w:t>
      </w:r>
      <w:proofErr w:type="spellEnd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proofErr w:type="spell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Coca-Cola</w:t>
      </w:r>
      <w:proofErr w:type="spellEnd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HBC </w:t>
      </w:r>
      <w:proofErr w:type="gram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Россия, </w:t>
      </w:r>
      <w:r w:rsidR="000567AE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proofErr w:type="spell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S</w:t>
      </w:r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>alym</w:t>
      </w:r>
      <w:proofErr w:type="spellEnd"/>
      <w:proofErr w:type="gramEnd"/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>Petroleum</w:t>
      </w:r>
      <w:proofErr w:type="spellEnd"/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>Development</w:t>
      </w:r>
      <w:proofErr w:type="spellEnd"/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N.V.</w:t>
      </w:r>
      <w:r w:rsidR="001E5012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462D84" w:rsidRPr="00EE6770" w:rsidRDefault="00462D84" w:rsidP="00DF51AD">
      <w:pPr>
        <w:tabs>
          <w:tab w:val="left" w:pos="142"/>
        </w:tabs>
        <w:spacing w:after="0" w:line="240" w:lineRule="auto"/>
        <w:ind w:left="142" w:right="284"/>
        <w:contextualSpacing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79627E" w:rsidRPr="003642DC" w:rsidRDefault="00C22CE2" w:rsidP="00DF51AD">
      <w:pPr>
        <w:tabs>
          <w:tab w:val="left" w:pos="142"/>
        </w:tabs>
        <w:spacing w:after="0" w:line="240" w:lineRule="auto"/>
        <w:ind w:left="142" w:right="284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ПРИ ПОДДЕРЖКЕ</w:t>
      </w:r>
      <w:r w:rsidR="00AF4922"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: </w:t>
      </w:r>
      <w:r w:rsidR="003642DC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Сеть ГД ООН в России, Министерство экономического развития РФ, Российское экологическое общество, Агентство инвестиционного развития НСО, </w:t>
      </w:r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Проектный офис "Стратегии и практики </w:t>
      </w:r>
      <w:r w:rsidR="009B1445">
        <w:rPr>
          <w:rFonts w:ascii="Garamond" w:eastAsia="Times New Roman" w:hAnsi="Garamond" w:cs="Times New Roman"/>
          <w:color w:val="2F5496" w:themeColor="accent5" w:themeShade="BF"/>
          <w:lang w:eastAsia="ru-RU"/>
        </w:rPr>
        <w:t>устойчивого развития"</w:t>
      </w:r>
      <w:r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>,</w:t>
      </w:r>
      <w:r w:rsidR="003642DC" w:rsidRPr="003642DC">
        <w:t xml:space="preserve"> </w:t>
      </w:r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Национальный совет по корпоративному </w:t>
      </w:r>
      <w:proofErr w:type="spellStart"/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>волонтёрству</w:t>
      </w:r>
      <w:proofErr w:type="spellEnd"/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r w:rsid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>Школа КСО и устойчивого развития</w:t>
      </w:r>
      <w:r w:rsidR="00457726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>, Общественная</w:t>
      </w:r>
      <w:r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палата НСО, </w:t>
      </w:r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>Союз «Торгово-промышленная палата Новосибирской области»</w:t>
      </w:r>
      <w:r w:rsidR="00F72EC5">
        <w:rPr>
          <w:rFonts w:ascii="Garamond" w:eastAsia="Times New Roman" w:hAnsi="Garamond" w:cs="Times New Roman"/>
          <w:color w:val="2F5496" w:themeColor="accent5" w:themeShade="BF"/>
          <w:lang w:eastAsia="ru-RU"/>
        </w:rPr>
        <w:t>,</w:t>
      </w:r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ФОНД «Сибирский Центр Поддержки Общественных Инициати</w:t>
      </w:r>
      <w:r w:rsidR="009B1445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в», </w:t>
      </w:r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Новосибирское Областное отделение общероссийской общественной организации малого и среднего предпринимательства «Опора России» </w:t>
      </w:r>
    </w:p>
    <w:p w:rsidR="00AF4922" w:rsidRPr="00122A7B" w:rsidRDefault="00AF4922" w:rsidP="00DF51AD">
      <w:pPr>
        <w:tabs>
          <w:tab w:val="left" w:pos="142"/>
        </w:tabs>
        <w:spacing w:after="0" w:line="240" w:lineRule="auto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F72EC5" w:rsidRDefault="0079627E" w:rsidP="00DF51AD">
      <w:pPr>
        <w:tabs>
          <w:tab w:val="left" w:pos="142"/>
        </w:tabs>
        <w:spacing w:after="0" w:line="240" w:lineRule="auto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ИНФОРМАЦИОННЫЕ</w:t>
      </w:r>
      <w:r w:rsidR="00F72EC5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="006E3F92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ПАРТНЕРЫ:</w:t>
      </w:r>
      <w:r w:rsidR="00AF4922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 </w:t>
      </w:r>
    </w:p>
    <w:p w:rsidR="00B036DF" w:rsidRPr="00122A7B" w:rsidRDefault="00A658AD" w:rsidP="00DF51AD">
      <w:pPr>
        <w:tabs>
          <w:tab w:val="left" w:pos="142"/>
        </w:tabs>
        <w:spacing w:after="0" w:line="240" w:lineRule="auto"/>
        <w:ind w:left="142" w:right="284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бизнес-портал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«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Деловой квартал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»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телеканал «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РБК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»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радио «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Бизнес-ФМ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»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,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бизнес-журнал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«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Статус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»</w:t>
      </w:r>
    </w:p>
    <w:p w:rsidR="0079627E" w:rsidRPr="00122A7B" w:rsidRDefault="0079627E" w:rsidP="00DF51AD">
      <w:pPr>
        <w:tabs>
          <w:tab w:val="left" w:pos="142"/>
        </w:tabs>
        <w:spacing w:after="0" w:line="240" w:lineRule="auto"/>
        <w:ind w:left="142" w:right="284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</w:p>
    <w:p w:rsidR="00CF1FFC" w:rsidRPr="00122A7B" w:rsidRDefault="008536AF" w:rsidP="008536AF">
      <w:pPr>
        <w:tabs>
          <w:tab w:val="left" w:pos="142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  <w:r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="009B1445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="00DF51AD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Приложение</w:t>
      </w:r>
      <w:r w:rsidR="00CF1FF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: </w:t>
      </w:r>
    </w:p>
    <w:p w:rsidR="00CF1FFC" w:rsidRPr="00122A7B" w:rsidRDefault="008536AF" w:rsidP="008536AF">
      <w:pPr>
        <w:tabs>
          <w:tab w:val="left" w:pos="142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="009B1445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="00CF1FFC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Программа 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Первой </w:t>
      </w:r>
      <w:r w:rsidR="00CF1FFC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Сибирской   конференции по устойчивому развитию</w:t>
      </w:r>
    </w:p>
    <w:p w:rsidR="00AF4922" w:rsidRPr="00122A7B" w:rsidRDefault="00AF4922" w:rsidP="00CF1FFC">
      <w:pPr>
        <w:tabs>
          <w:tab w:val="left" w:pos="142"/>
        </w:tabs>
        <w:spacing w:after="0" w:line="240" w:lineRule="auto"/>
        <w:ind w:left="-567"/>
        <w:contextualSpacing/>
        <w:jc w:val="right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AF4922" w:rsidRDefault="00AF4922" w:rsidP="00CF1FFC">
      <w:pPr>
        <w:tabs>
          <w:tab w:val="left" w:pos="142"/>
        </w:tabs>
        <w:spacing w:after="0" w:line="240" w:lineRule="auto"/>
        <w:ind w:left="-567"/>
        <w:contextualSpacing/>
        <w:jc w:val="right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DF51AD" w:rsidRPr="00122A7B" w:rsidRDefault="00DF51AD" w:rsidP="00CF1FFC">
      <w:pPr>
        <w:tabs>
          <w:tab w:val="left" w:pos="142"/>
        </w:tabs>
        <w:spacing w:after="0" w:line="240" w:lineRule="auto"/>
        <w:ind w:left="-567"/>
        <w:contextualSpacing/>
        <w:jc w:val="right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AF4922" w:rsidRPr="00122A7B" w:rsidRDefault="00AF4922" w:rsidP="00CF1FFC">
      <w:pPr>
        <w:tabs>
          <w:tab w:val="left" w:pos="142"/>
        </w:tabs>
        <w:spacing w:after="0" w:line="240" w:lineRule="auto"/>
        <w:ind w:left="-567"/>
        <w:contextualSpacing/>
        <w:jc w:val="right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DF51AD" w:rsidRPr="00A54B3D" w:rsidRDefault="00DF51AD" w:rsidP="00DF51AD">
      <w:pPr>
        <w:tabs>
          <w:tab w:val="left" w:pos="709"/>
        </w:tabs>
        <w:suppressAutoHyphens/>
        <w:spacing w:after="0"/>
        <w:jc w:val="center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>
        <w:rPr>
          <w:rFonts w:ascii="Garamond" w:eastAsia="Times New Roman" w:hAnsi="Garamond" w:cs="Times New Roman"/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9264" behindDoc="0" locked="0" layoutInCell="1" allowOverlap="1" wp14:anchorId="430FDA10" wp14:editId="522D8189">
            <wp:simplePos x="0" y="0"/>
            <wp:positionH relativeFrom="column">
              <wp:posOffset>-1833</wp:posOffset>
            </wp:positionH>
            <wp:positionV relativeFrom="paragraph">
              <wp:posOffset>-3091</wp:posOffset>
            </wp:positionV>
            <wp:extent cx="5941060" cy="619125"/>
            <wp:effectExtent l="0" t="0" r="254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ННЕР 1920х200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4B3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          </w:t>
      </w:r>
    </w:p>
    <w:tbl>
      <w:tblPr>
        <w:tblW w:w="9261" w:type="dxa"/>
        <w:tblInd w:w="-47" w:type="dxa"/>
        <w:tblLook w:val="0000" w:firstRow="0" w:lastRow="0" w:firstColumn="0" w:lastColumn="0" w:noHBand="0" w:noVBand="0"/>
      </w:tblPr>
      <w:tblGrid>
        <w:gridCol w:w="2066"/>
        <w:gridCol w:w="7195"/>
      </w:tblGrid>
      <w:tr w:rsidR="00DF51AD" w:rsidRPr="00122A7B" w:rsidTr="00171EFB">
        <w:trPr>
          <w:trHeight w:val="714"/>
        </w:trPr>
        <w:tc>
          <w:tcPr>
            <w:tcW w:w="2066" w:type="dxa"/>
          </w:tcPr>
          <w:p w:rsidR="00DF51AD" w:rsidRPr="00122A7B" w:rsidRDefault="00DF51AD" w:rsidP="00171EFB">
            <w:pPr>
              <w:tabs>
                <w:tab w:val="left" w:pos="42"/>
              </w:tabs>
              <w:suppressAutoHyphens/>
              <w:spacing w:after="0"/>
              <w:ind w:left="42" w:right="210"/>
              <w:jc w:val="both"/>
              <w:rPr>
                <w:rFonts w:ascii="Garamond" w:eastAsia="Calibri" w:hAnsi="Garamond" w:cs="Times New Roman"/>
                <w:b/>
                <w:color w:val="2F5496" w:themeColor="accent5" w:themeShade="BF"/>
                <w:lang w:eastAsia="ar-SA"/>
              </w:rPr>
            </w:pPr>
          </w:p>
        </w:tc>
        <w:tc>
          <w:tcPr>
            <w:tcW w:w="7195" w:type="dxa"/>
          </w:tcPr>
          <w:p w:rsidR="00DF51AD" w:rsidRPr="00122A7B" w:rsidRDefault="00DF51AD" w:rsidP="00171EFB">
            <w:pPr>
              <w:tabs>
                <w:tab w:val="left" w:pos="42"/>
              </w:tabs>
              <w:suppressAutoHyphens/>
              <w:spacing w:after="0"/>
              <w:ind w:left="42" w:right="210"/>
              <w:jc w:val="right"/>
              <w:rPr>
                <w:rFonts w:ascii="Garamond" w:eastAsia="Calibri" w:hAnsi="Garamond" w:cs="Times New Roman"/>
                <w:b/>
                <w:color w:val="2F5496" w:themeColor="accent5" w:themeShade="BF"/>
                <w:lang w:eastAsia="ar-SA"/>
              </w:rPr>
            </w:pPr>
          </w:p>
        </w:tc>
      </w:tr>
    </w:tbl>
    <w:p w:rsidR="00807E65" w:rsidRDefault="00807E65" w:rsidP="00807E65">
      <w:pPr>
        <w:tabs>
          <w:tab w:val="left" w:pos="142"/>
        </w:tabs>
        <w:spacing w:after="0"/>
        <w:contextualSpacing/>
        <w:jc w:val="center"/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</w:pPr>
    </w:p>
    <w:p w:rsidR="00DF51AD" w:rsidRPr="004936AA" w:rsidRDefault="00DF51AD" w:rsidP="00807E65">
      <w:pPr>
        <w:tabs>
          <w:tab w:val="left" w:pos="142"/>
        </w:tabs>
        <w:spacing w:after="0"/>
        <w:contextualSpacing/>
        <w:jc w:val="center"/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</w:pPr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Дата и место пр</w:t>
      </w:r>
      <w:r w:rsidR="009B1445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 xml:space="preserve">оведения: 16 сентября 2021 г., </w:t>
      </w:r>
      <w:proofErr w:type="spellStart"/>
      <w:r w:rsidR="009B1445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ф</w:t>
      </w:r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иджитал</w:t>
      </w:r>
      <w:proofErr w:type="spellEnd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-формат</w:t>
      </w:r>
    </w:p>
    <w:p w:rsidR="00DF51AD" w:rsidRPr="004936AA" w:rsidRDefault="00DF51AD" w:rsidP="00807E65">
      <w:pPr>
        <w:tabs>
          <w:tab w:val="left" w:pos="142"/>
        </w:tabs>
        <w:spacing w:after="0"/>
        <w:contextualSpacing/>
        <w:jc w:val="center"/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</w:pPr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 xml:space="preserve">Новосибирск, </w:t>
      </w:r>
      <w:proofErr w:type="spellStart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Marins</w:t>
      </w:r>
      <w:proofErr w:type="spellEnd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proofErr w:type="spellStart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Park</w:t>
      </w:r>
      <w:proofErr w:type="spellEnd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proofErr w:type="spellStart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Hotel</w:t>
      </w:r>
      <w:proofErr w:type="spellEnd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proofErr w:type="spellStart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Novosibirsk</w:t>
      </w:r>
      <w:proofErr w:type="spellEnd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, Вокзальная магистраль, 1</w:t>
      </w:r>
    </w:p>
    <w:p w:rsidR="000567AE" w:rsidRDefault="000567AE" w:rsidP="00DF51AD">
      <w:pPr>
        <w:tabs>
          <w:tab w:val="left" w:pos="142"/>
        </w:tabs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DF51AD" w:rsidRPr="004936AA" w:rsidRDefault="00DF51AD" w:rsidP="00DF51AD">
      <w:pPr>
        <w:tabs>
          <w:tab w:val="left" w:pos="142"/>
        </w:tabs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color w:val="2F5496" w:themeColor="accent5" w:themeShade="BF"/>
          <w:sz w:val="24"/>
          <w:szCs w:val="24"/>
          <w:lang w:eastAsia="ru-RU"/>
        </w:rPr>
      </w:pPr>
      <w:r w:rsidRPr="004936AA">
        <w:rPr>
          <w:rFonts w:ascii="Garamond" w:eastAsia="Times New Roman" w:hAnsi="Garamond" w:cs="Times New Roman"/>
          <w:b/>
          <w:color w:val="2F5496" w:themeColor="accent5" w:themeShade="BF"/>
          <w:sz w:val="24"/>
          <w:szCs w:val="24"/>
          <w:lang w:eastAsia="ru-RU"/>
        </w:rPr>
        <w:t xml:space="preserve"> ПРОГРАММА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A4767" w:rsidRPr="00122A7B" w:rsidTr="00BA4767">
        <w:trPr>
          <w:trHeight w:val="23"/>
        </w:trPr>
        <w:tc>
          <w:tcPr>
            <w:tcW w:w="9498" w:type="dxa"/>
          </w:tcPr>
          <w:p w:rsidR="00BA4767" w:rsidRPr="00122A7B" w:rsidRDefault="00BA4767" w:rsidP="00BA476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09:30 – 10:00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Регистрация участников, кофе</w:t>
            </w:r>
          </w:p>
        </w:tc>
      </w:tr>
      <w:tr w:rsidR="00BA4767" w:rsidRPr="00122A7B" w:rsidTr="00BA4767">
        <w:trPr>
          <w:trHeight w:val="20"/>
        </w:trPr>
        <w:tc>
          <w:tcPr>
            <w:tcW w:w="9498" w:type="dxa"/>
          </w:tcPr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10:00 – 10:15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ОФИЦИАЛЬНОЕ ОТКРЫТИЕ КОНФЕРЕНЦИИ</w:t>
            </w:r>
          </w:p>
          <w:p w:rsidR="00BA4767" w:rsidRPr="00C3084F" w:rsidRDefault="00BA4767" w:rsidP="000567AE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Александр </w:t>
            </w:r>
            <w:proofErr w:type="spellStart"/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Плакида</w:t>
            </w:r>
            <w:proofErr w:type="spellEnd"/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Pr="00C3084F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председатель Управляющего совета Ассоциации «Национальная сеть Глобального договора», г. Москва</w:t>
            </w:r>
          </w:p>
          <w:p w:rsidR="00BA4767" w:rsidRPr="000567AE" w:rsidRDefault="00BA4767" w:rsidP="000567AE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0567A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Наталья </w:t>
            </w:r>
            <w:proofErr w:type="spellStart"/>
            <w:r w:rsidRPr="000567A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Стапран</w:t>
            </w:r>
            <w:proofErr w:type="spellEnd"/>
            <w:r w:rsidRPr="000567A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директор Департамента многостороннего   эк</w:t>
            </w:r>
            <w:r w:rsidR="000567AE"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ономического сотрудничества и </w:t>
            </w: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специальных проектов Министерства экономического развития РФ, г. Москва</w:t>
            </w:r>
            <w:r w:rsidRPr="000567A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                       </w:t>
            </w: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                                                                </w:t>
            </w:r>
          </w:p>
          <w:p w:rsidR="000567AE" w:rsidRPr="000567AE" w:rsidRDefault="00BA4767" w:rsidP="00222A8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Рашид Исмаилов,</w:t>
            </w:r>
            <w:r w:rsidRPr="00C3084F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председатель Российского экологич</w:t>
            </w:r>
            <w:r w:rsid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еского общества, сопредседатель</w:t>
            </w:r>
          </w:p>
          <w:p w:rsidR="00BA4767" w:rsidRPr="000567AE" w:rsidRDefault="00BA4767" w:rsidP="000567AE">
            <w:pPr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Экспертного совета при Комитете Совета Федерации по аграрно-продовольственной политике и природопользованию, г. Москва</w:t>
            </w:r>
          </w:p>
        </w:tc>
      </w:tr>
      <w:tr w:rsidR="00BA4767" w:rsidRPr="00122A7B" w:rsidTr="00BA4767">
        <w:trPr>
          <w:trHeight w:val="20"/>
        </w:trPr>
        <w:tc>
          <w:tcPr>
            <w:tcW w:w="9498" w:type="dxa"/>
          </w:tcPr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10:15 – 12:15</w:t>
            </w:r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—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ПЛЕНАРНАЯ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СЕССИЯ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 </w:t>
            </w: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ЦЕЛИ УСТОЙЧИВОГО РАЗВИТИЯ — ВЗАИМОДЕЙСТВИЕ БИЗНЕСА, ГОСУДАРСТВА И НЕКОММЕРЧЕСКОГО СЕКТОРА</w:t>
            </w:r>
          </w:p>
        </w:tc>
      </w:tr>
      <w:tr w:rsidR="00BA4767" w:rsidRPr="00122A7B" w:rsidTr="00BA4767">
        <w:trPr>
          <w:trHeight w:val="699"/>
        </w:trPr>
        <w:tc>
          <w:tcPr>
            <w:tcW w:w="9498" w:type="dxa"/>
          </w:tcPr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МОДЕРАТОР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Ы </w:t>
            </w:r>
          </w:p>
          <w:p w:rsidR="00BA4767" w:rsidRPr="00BA4767" w:rsidRDefault="00BA4767" w:rsidP="00222A82">
            <w:pPr>
              <w:pStyle w:val="a3"/>
              <w:numPr>
                <w:ilvl w:val="0"/>
                <w:numId w:val="18"/>
              </w:numPr>
              <w:tabs>
                <w:tab w:val="left" w:pos="68"/>
                <w:tab w:val="left" w:pos="175"/>
                <w:tab w:val="left" w:pos="317"/>
              </w:tabs>
              <w:spacing w:after="0" w:line="240" w:lineRule="auto"/>
              <w:ind w:left="68" w:firstLine="34"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Александр </w:t>
            </w:r>
            <w:proofErr w:type="spellStart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Плакида</w:t>
            </w:r>
            <w:proofErr w:type="spellEnd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председатель   Управляющего с</w:t>
            </w:r>
            <w:r w:rsidR="009B144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овета Ассоциации «Национальная </w:t>
            </w: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сеть Глобального договора», г. Москва</w:t>
            </w:r>
          </w:p>
          <w:p w:rsidR="00BA4767" w:rsidRPr="00BA4767" w:rsidRDefault="00BA4767" w:rsidP="00222A82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>
              <w:rPr>
                <w:rStyle w:val="ae"/>
                <w:rFonts w:ascii="Garamond" w:hAnsi="Garamond"/>
                <w:color w:val="2F5496" w:themeColor="accent5" w:themeShade="BF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A4767">
              <w:rPr>
                <w:rStyle w:val="ae"/>
                <w:rFonts w:ascii="Garamond" w:hAnsi="Garamond"/>
                <w:color w:val="2F5496" w:themeColor="accent5" w:themeShade="BF"/>
                <w:bdr w:val="none" w:sz="0" w:space="0" w:color="auto" w:frame="1"/>
                <w:shd w:val="clear" w:color="auto" w:fill="FFFFFF"/>
              </w:rPr>
              <w:t>Юлия Данилова</w:t>
            </w:r>
            <w:r w:rsidRPr="00BA4767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, главный редактор Infopro54.ru, г. Новосибирск</w:t>
            </w:r>
          </w:p>
          <w:p w:rsidR="00BA4767" w:rsidRDefault="00BA4767" w:rsidP="00222A82">
            <w:pPr>
              <w:tabs>
                <w:tab w:val="left" w:pos="0"/>
                <w:tab w:val="left" w:pos="175"/>
              </w:tabs>
              <w:spacing w:after="0" w:line="240" w:lineRule="auto"/>
              <w:ind w:left="34" w:firstLine="34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  <w:tab w:val="left" w:pos="175"/>
              </w:tabs>
              <w:spacing w:after="0" w:line="240" w:lineRule="auto"/>
              <w:ind w:left="34" w:firstLine="34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ТЕМЫ ДЛЯ ОБСУЖДЕНИЯ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Цели устойчивого развития в России 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Цели ЦУР — взаимодействие бизнеса, государства и некоммерческого сектора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Стандарты в области устойчивого развития для бизнеса 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Главные тренды ЦУР </w:t>
            </w:r>
          </w:p>
          <w:p w:rsidR="00BA4767" w:rsidRDefault="00BA4767" w:rsidP="00222A8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Цели устойчивого развития в новой реальности — подходы, риски и возможности </w:t>
            </w:r>
          </w:p>
          <w:p w:rsidR="00BA4767" w:rsidRPr="00122A7B" w:rsidRDefault="00BA4767" w:rsidP="00222A82">
            <w:pPr>
              <w:pStyle w:val="a3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    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в период пандемии</w:t>
            </w:r>
          </w:p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УЧАСТНИКИ ДИСКУССИИ</w:t>
            </w:r>
          </w:p>
          <w:p w:rsidR="00BA4767" w:rsidRPr="00BA4767" w:rsidRDefault="00BA4767" w:rsidP="00222A82">
            <w:pPr>
              <w:pStyle w:val="a3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34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Наталья </w:t>
            </w:r>
            <w:proofErr w:type="spellStart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Стапран</w:t>
            </w:r>
            <w:proofErr w:type="spellEnd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директор Департамента многостороннего   экономического        сотрудничества и   специальных проектов Министерства экономического развития РФ, г. Москва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175"/>
              </w:tabs>
              <w:spacing w:after="160" w:line="240" w:lineRule="auto"/>
              <w:ind w:left="34" w:firstLine="34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 xml:space="preserve"> </w:t>
            </w: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Светлана Герасимова,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п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артнёр, программный директор в 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>проектный офис "Стратегии и практики устойчивого развития", г. Москва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 xml:space="preserve"> </w:t>
            </w: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Александр Зырянов,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генеральный директор Агентства инвестиционного развития Новосибирской области, г. Новосибирск</w:t>
            </w:r>
          </w:p>
          <w:p w:rsidR="00BA4767" w:rsidRDefault="00BA4767" w:rsidP="00222A82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175"/>
              </w:tabs>
              <w:spacing w:after="0"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t xml:space="preserve"> </w:t>
            </w:r>
            <w:hyperlink w:history="1">
              <w:r w:rsidRPr="00122A7B">
                <w:rPr>
                  <w:rFonts w:ascii="Garamond" w:eastAsia="Times New Roman" w:hAnsi="Garamond" w:cs="Times New Roman"/>
                  <w:b/>
                  <w:color w:val="2F5496" w:themeColor="accent5" w:themeShade="BF"/>
                  <w:lang w:eastAsia="ru-RU"/>
                </w:rPr>
                <w:t>Ирина Жукова,</w:t>
              </w:r>
              <w:r w:rsidR="009B1445">
                <w:rPr>
                  <w:rFonts w:ascii="Garamond" w:eastAsia="Times New Roman" w:hAnsi="Garamond" w:cs="Times New Roman"/>
                  <w:color w:val="2F5496" w:themeColor="accent5" w:themeShade="BF"/>
                  <w:lang w:eastAsia="ru-RU"/>
                </w:rPr>
                <w:t xml:space="preserve"> д</w:t>
              </w:r>
              <w:r w:rsidRPr="00122A7B">
                <w:rPr>
                  <w:rFonts w:ascii="Garamond" w:eastAsia="Times New Roman" w:hAnsi="Garamond" w:cs="Times New Roman"/>
                  <w:color w:val="2F5496" w:themeColor="accent5" w:themeShade="BF"/>
                  <w:lang w:eastAsia="ru-RU"/>
                </w:rPr>
                <w:t xml:space="preserve">иректор по устойчивому развитию, Россия и Восточная Европа "Филип Моррис Интернэшнл", председатель Национального </w:t>
              </w:r>
              <w:r w:rsidR="009B1445">
                <w:rPr>
                  <w:rFonts w:ascii="Garamond" w:eastAsia="Times New Roman" w:hAnsi="Garamond" w:cs="Times New Roman"/>
                  <w:color w:val="2F5496" w:themeColor="accent5" w:themeShade="BF"/>
                  <w:lang w:eastAsia="ru-RU"/>
                </w:rPr>
                <w:t xml:space="preserve">совета по корпоративному </w:t>
              </w:r>
              <w:proofErr w:type="spellStart"/>
              <w:r w:rsidR="009B1445">
                <w:rPr>
                  <w:rFonts w:ascii="Garamond" w:eastAsia="Times New Roman" w:hAnsi="Garamond" w:cs="Times New Roman"/>
                  <w:color w:val="2F5496" w:themeColor="accent5" w:themeShade="BF"/>
                  <w:lang w:eastAsia="ru-RU"/>
                </w:rPr>
                <w:t>волонтё</w:t>
              </w:r>
              <w:r w:rsidRPr="00122A7B">
                <w:rPr>
                  <w:rFonts w:ascii="Garamond" w:eastAsia="Times New Roman" w:hAnsi="Garamond" w:cs="Times New Roman"/>
                  <w:color w:val="2F5496" w:themeColor="accent5" w:themeShade="BF"/>
                  <w:lang w:eastAsia="ru-RU"/>
                </w:rPr>
                <w:t>рству</w:t>
              </w:r>
              <w:proofErr w:type="spellEnd"/>
            </w:hyperlink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, </w:t>
            </w:r>
          </w:p>
          <w:p w:rsidR="00BA4767" w:rsidRPr="00BA4767" w:rsidRDefault="00BA4767" w:rsidP="00222A82">
            <w:pPr>
              <w:shd w:val="clear" w:color="auto" w:fill="FFFFFF"/>
              <w:tabs>
                <w:tab w:val="left" w:pos="0"/>
                <w:tab w:val="left" w:pos="175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г. Москва</w:t>
            </w:r>
          </w:p>
          <w:p w:rsidR="00BA4767" w:rsidRDefault="00BA4767" w:rsidP="00222A8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75"/>
              </w:tabs>
              <w:spacing w:after="160"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Александр Костиков,</w:t>
            </w: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директор ко коммуникациям </w:t>
            </w:r>
            <w:proofErr w:type="spellStart"/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PepsiCo</w:t>
            </w:r>
            <w:proofErr w:type="spellEnd"/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Россия и СНГ, г. Москва</w:t>
            </w:r>
          </w:p>
          <w:p w:rsidR="00BA4767" w:rsidRPr="00BA4767" w:rsidRDefault="00BA4767" w:rsidP="00222A8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75"/>
              </w:tabs>
              <w:spacing w:after="160"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Антон </w:t>
            </w:r>
            <w:proofErr w:type="spellStart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Калтыгин</w:t>
            </w:r>
            <w:proofErr w:type="spellEnd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региональный руководитель по взаимодействию с органами власти, Coca-Cola HBC Россия, г. Новосибирск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75"/>
              </w:tabs>
              <w:spacing w:after="160"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 xml:space="preserve"> </w:t>
            </w: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Юрий</w:t>
            </w:r>
            <w:r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 xml:space="preserve"> </w:t>
            </w:r>
            <w:proofErr w:type="spellStart"/>
            <w:r w:rsidRPr="004D34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Маяцкий</w:t>
            </w:r>
            <w:proofErr w:type="spellEnd"/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,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н</w:t>
            </w:r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 xml:space="preserve">ачальник службы операций на финансовых рынках </w:t>
            </w:r>
            <w:proofErr w:type="spellStart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Новосибирcкого</w:t>
            </w:r>
            <w:proofErr w:type="spellEnd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 xml:space="preserve"> филиала </w:t>
            </w:r>
            <w:proofErr w:type="spellStart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Россельхозбанка</w:t>
            </w:r>
            <w:proofErr w:type="spellEnd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, г. Новосибирск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75"/>
              </w:tabs>
              <w:spacing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Елена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Погодаева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="00807E65"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р</w:t>
            </w:r>
            <w:r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уководитель по внешним коммуникациям и связям с государственными органами в Сибири ПАО «Магнит», г. Новосибирск</w:t>
            </w:r>
          </w:p>
          <w:p w:rsidR="000567AE" w:rsidRDefault="00BA4767" w:rsidP="000567A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16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Евгения </w:t>
            </w:r>
            <w:proofErr w:type="spellStart"/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Чавкина</w:t>
            </w:r>
            <w:proofErr w:type="spellEnd"/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="00807E65"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сопредседатель Новосибирского обла</w:t>
            </w:r>
            <w:r w:rsid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стного отделения Общероссийской</w:t>
            </w:r>
          </w:p>
          <w:p w:rsidR="00BA4767" w:rsidRPr="00807E65" w:rsidRDefault="00807E65" w:rsidP="000567AE">
            <w:pPr>
              <w:pStyle w:val="a3"/>
              <w:tabs>
                <w:tab w:val="left" w:pos="0"/>
                <w:tab w:val="left" w:pos="176"/>
              </w:tabs>
              <w:spacing w:after="160" w:line="240" w:lineRule="auto"/>
              <w:ind w:left="176" w:hanging="176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общественной организации малого и среднего предпринимательства "ОПОРА РОССИИ"</w:t>
            </w:r>
          </w:p>
          <w:p w:rsidR="00BA4767" w:rsidRDefault="00BA4767" w:rsidP="00222A8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75"/>
              </w:tabs>
              <w:spacing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lastRenderedPageBreak/>
              <w:t xml:space="preserve"> </w:t>
            </w:r>
            <w:r w:rsidRPr="0015586D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Марианна Онуфриенко,</w:t>
            </w:r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доктор наук, профессор, директор по взаимодействию с </w:t>
            </w:r>
          </w:p>
          <w:p w:rsidR="00BA4767" w:rsidRPr="00122A7B" w:rsidRDefault="00BA4767" w:rsidP="00222A82">
            <w:pPr>
              <w:pStyle w:val="a3"/>
              <w:tabs>
                <w:tab w:val="left" w:pos="176"/>
              </w:tabs>
              <w:spacing w:line="240" w:lineRule="auto"/>
              <w:ind w:left="68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о</w:t>
            </w:r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бщественными организациями и органами власти </w:t>
            </w:r>
            <w:proofErr w:type="spellStart"/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Mars</w:t>
            </w:r>
            <w:proofErr w:type="spellEnd"/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</w:t>
            </w:r>
            <w:proofErr w:type="spellStart"/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Petcare</w:t>
            </w:r>
            <w:proofErr w:type="spellEnd"/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в России, г. Москва</w:t>
            </w:r>
          </w:p>
        </w:tc>
      </w:tr>
      <w:tr w:rsidR="00BA4767" w:rsidRPr="00122A7B" w:rsidTr="00BA4767">
        <w:trPr>
          <w:trHeight w:val="20"/>
        </w:trPr>
        <w:tc>
          <w:tcPr>
            <w:tcW w:w="9498" w:type="dxa"/>
            <w:tcBorders>
              <w:bottom w:val="single" w:sz="4" w:space="0" w:color="auto"/>
            </w:tcBorders>
          </w:tcPr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lastRenderedPageBreak/>
              <w:t>12:15 – 12:45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Кофе-пауза</w:t>
            </w:r>
          </w:p>
        </w:tc>
      </w:tr>
      <w:tr w:rsidR="00BA4767" w:rsidRPr="00122A7B" w:rsidTr="00BA4767">
        <w:trPr>
          <w:trHeight w:val="20"/>
        </w:trPr>
        <w:tc>
          <w:tcPr>
            <w:tcW w:w="9498" w:type="dxa"/>
            <w:tcBorders>
              <w:bottom w:val="single" w:sz="4" w:space="0" w:color="auto"/>
            </w:tcBorders>
          </w:tcPr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12:45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softHyphen/>
              <w:t>– 14:30</w:t>
            </w:r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 </w:t>
            </w:r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—   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СТРАТЕГИЧЕСКАЯ СЕССИЯ</w:t>
            </w: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ЭКОРАЗВИТИЕ   —   ЭКОЛОГО-КЛИМАТИЧЕСКАЯ ОТВЕТСТВЕННОСТЬ 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Б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ИЗНЕСА</w:t>
            </w:r>
          </w:p>
        </w:tc>
      </w:tr>
      <w:tr w:rsidR="00BA4767" w:rsidRPr="00122A7B" w:rsidTr="00222A82">
        <w:trPr>
          <w:trHeight w:val="820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МОДЕРАТОР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Ы</w:t>
            </w:r>
          </w:p>
          <w:p w:rsidR="00BA4767" w:rsidRPr="00C3084F" w:rsidRDefault="00BA4767" w:rsidP="00222A82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Марина </w:t>
            </w:r>
            <w:proofErr w:type="spellStart"/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Вашукова</w:t>
            </w:r>
            <w:proofErr w:type="spellEnd"/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Pr="00C3084F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исполнительный директор Ассоциации «Национальная сеть Глобального договора», г. Москва</w:t>
            </w:r>
          </w:p>
          <w:p w:rsidR="00BA4767" w:rsidRPr="00807E65" w:rsidRDefault="00BA4767" w:rsidP="00222A82">
            <w:pPr>
              <w:pStyle w:val="a3"/>
              <w:numPr>
                <w:ilvl w:val="0"/>
                <w:numId w:val="19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Артём </w:t>
            </w:r>
            <w:proofErr w:type="spellStart"/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Землянников</w:t>
            </w:r>
            <w:proofErr w:type="spellEnd"/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заместитель </w:t>
            </w:r>
            <w:r w:rsidRPr="00807E65">
              <w:rPr>
                <w:rFonts w:ascii="Garamond" w:eastAsiaTheme="minorHAnsi" w:hAnsi="Garamond" w:cs="Times New Roman"/>
                <w:color w:val="2F5496" w:themeColor="accent5" w:themeShade="BF"/>
              </w:rPr>
              <w:t>председателя комитета по экологии и устойчивому развитию Союза «Торгово-промышленная палата Новосибирской области», г. Новосибирск</w:t>
            </w:r>
          </w:p>
          <w:p w:rsidR="00BA4767" w:rsidRPr="00807E65" w:rsidRDefault="00BA4767" w:rsidP="00222A82">
            <w:pPr>
              <w:spacing w:line="240" w:lineRule="auto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ТЕМЫ ДЛЯ ОБСУЖДЕНИЯ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Актуальные тренды ЦУР   в области экологии и климата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Снижение негативного воздействия на окружающую среду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Сохранение и восстановление окружающей среды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Российское законодательство в области экологии, охраны природы и климата</w:t>
            </w:r>
          </w:p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ind w:left="176" w:hanging="176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807E65" w:rsidRDefault="00BA4767" w:rsidP="00222A82">
            <w:pPr>
              <w:pStyle w:val="a3"/>
              <w:tabs>
                <w:tab w:val="left" w:pos="0"/>
              </w:tabs>
              <w:spacing w:after="0" w:line="240" w:lineRule="auto"/>
              <w:ind w:left="176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УЧАСТНИКИ ДИСКУССИИ</w:t>
            </w:r>
          </w:p>
          <w:p w:rsidR="00BA4767" w:rsidRPr="00807E65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Анастасия </w:t>
            </w:r>
            <w:proofErr w:type="spellStart"/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Малетина</w:t>
            </w:r>
            <w:proofErr w:type="spellEnd"/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управляющий по работе с органами государственной власти и корпоративным отношениям, Пивоваренная компа</w:t>
            </w:r>
            <w:r w:rsidR="00807E65"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ния «Балтика» в регионе Сибирь,</w:t>
            </w:r>
            <w:r w:rsid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</w:t>
            </w:r>
            <w:r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г. Новосибирск</w:t>
            </w:r>
          </w:p>
          <w:p w:rsidR="00BA4767" w:rsidRPr="004D347B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line="240" w:lineRule="auto"/>
              <w:ind w:left="34" w:firstLine="0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 w:rsidRPr="004D34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Александр Самойлов,</w:t>
            </w:r>
            <w:r w:rsidRPr="004D34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председатель комитета по экологии и устойчивому развитию Союза «Торгово-промышленная палата Новосибирской области», г. Новосибирск</w:t>
            </w:r>
          </w:p>
          <w:p w:rsidR="00807E65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line="240" w:lineRule="auto"/>
              <w:ind w:left="34" w:firstLine="0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Дмитрий Шарков,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управляющий по корпоративным во</w:t>
            </w:r>
            <w:r w:rsidR="00807E65">
              <w:rPr>
                <w:rFonts w:ascii="Garamond" w:eastAsiaTheme="minorHAnsi" w:hAnsi="Garamond" w:cs="Times New Roman"/>
                <w:color w:val="2F5496" w:themeColor="accent5" w:themeShade="BF"/>
              </w:rPr>
              <w:t>просам региона Сибирь и Дальний</w:t>
            </w:r>
          </w:p>
          <w:p w:rsidR="00222A82" w:rsidRDefault="00BA4767" w:rsidP="00222A82">
            <w:pPr>
              <w:pStyle w:val="a3"/>
              <w:tabs>
                <w:tab w:val="left" w:pos="176"/>
              </w:tabs>
              <w:spacing w:line="240" w:lineRule="auto"/>
              <w:ind w:left="34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Восток аффилированных компаний «Филип Моррис Интернэшнл» в России, председатель регионального представительства Национального </w:t>
            </w:r>
            <w:r w:rsidR="009B1445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совета по корпоративному </w:t>
            </w:r>
            <w:proofErr w:type="spellStart"/>
            <w:r w:rsidR="009B1445">
              <w:rPr>
                <w:rFonts w:ascii="Garamond" w:eastAsiaTheme="minorHAnsi" w:hAnsi="Garamond" w:cs="Times New Roman"/>
                <w:color w:val="2F5496" w:themeColor="accent5" w:themeShade="BF"/>
              </w:rPr>
              <w:t>волонтё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>рству</w:t>
            </w:r>
            <w:proofErr w:type="spellEnd"/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в НСО, </w:t>
            </w:r>
          </w:p>
          <w:p w:rsidR="00BA4767" w:rsidRPr="00122A7B" w:rsidRDefault="00BA4767" w:rsidP="00222A82">
            <w:pPr>
              <w:pStyle w:val="a3"/>
              <w:tabs>
                <w:tab w:val="left" w:pos="176"/>
              </w:tabs>
              <w:spacing w:line="240" w:lineRule="auto"/>
              <w:ind w:left="34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>г. Новосибирск</w:t>
            </w:r>
          </w:p>
          <w:p w:rsidR="00BA4767" w:rsidRPr="0015586D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 xml:space="preserve">Алексей </w:t>
            </w:r>
            <w:proofErr w:type="spellStart"/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Колгушкин</w:t>
            </w:r>
            <w:proofErr w:type="spellEnd"/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,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директор ИКЕА в Новосибирске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5586D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Светлана </w:t>
            </w:r>
            <w:proofErr w:type="spellStart"/>
            <w:r w:rsidRPr="0015586D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Лансфорд</w:t>
            </w:r>
            <w:proofErr w:type="spellEnd"/>
            <w:r w:rsidRPr="0015586D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управляющий торговым центром МЕГА, г. Новосибирск</w:t>
            </w:r>
          </w:p>
          <w:p w:rsidR="00807E65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5586D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Елена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Погодаева,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руководитель по внешним коммуникац</w:t>
            </w:r>
            <w:r w:rsid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иям и связям с государственными</w:t>
            </w:r>
          </w:p>
          <w:p w:rsidR="00BA4767" w:rsidRPr="00122A7B" w:rsidRDefault="00BA4767" w:rsidP="009B1445">
            <w:pPr>
              <w:pStyle w:val="a3"/>
              <w:tabs>
                <w:tab w:val="left" w:pos="176"/>
                <w:tab w:val="left" w:pos="318"/>
              </w:tabs>
              <w:spacing w:line="240" w:lineRule="auto"/>
              <w:ind w:left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органами в Сибири ПАО «Магнит», г. Новосибирск</w:t>
            </w:r>
          </w:p>
          <w:p w:rsidR="00BA4767" w:rsidRPr="00077424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Михаил Пономарев,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научный руководитель Школы экологических компетенций Российского экологического общества, кандидат юридических наук, г. Москва</w:t>
            </w:r>
          </w:p>
          <w:p w:rsidR="00807E65" w:rsidRPr="00807E65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Ярослава Врубель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>, руководитель направления по устойчиво</w:t>
            </w:r>
            <w:r w:rsidR="00807E65">
              <w:rPr>
                <w:rFonts w:ascii="Garamond" w:eastAsiaTheme="minorHAnsi" w:hAnsi="Garamond" w:cs="Times New Roman"/>
                <w:color w:val="2F5496" w:themeColor="accent5" w:themeShade="BF"/>
              </w:rPr>
              <w:t>му развитию ПАО «Магнитогорский</w:t>
            </w:r>
          </w:p>
          <w:p w:rsidR="00BA4767" w:rsidRPr="00122A7B" w:rsidRDefault="00BA4767" w:rsidP="00222A82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>металлургический комбинат», г. Магнитогорск</w:t>
            </w:r>
          </w:p>
        </w:tc>
      </w:tr>
      <w:tr w:rsidR="00807E65" w:rsidRPr="00122A7B" w:rsidTr="00E0426B">
        <w:trPr>
          <w:trHeight w:val="20"/>
        </w:trPr>
        <w:tc>
          <w:tcPr>
            <w:tcW w:w="9498" w:type="dxa"/>
            <w:tcBorders>
              <w:top w:val="single" w:sz="4" w:space="0" w:color="auto"/>
            </w:tcBorders>
          </w:tcPr>
          <w:p w:rsidR="00807E65" w:rsidRPr="00122A7B" w:rsidRDefault="00807E65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14:30 – 15:30   Обед</w:t>
            </w:r>
          </w:p>
        </w:tc>
      </w:tr>
      <w:tr w:rsidR="00807E65" w:rsidRPr="00122A7B" w:rsidTr="00457BE8">
        <w:trPr>
          <w:trHeight w:val="20"/>
        </w:trPr>
        <w:tc>
          <w:tcPr>
            <w:tcW w:w="9498" w:type="dxa"/>
          </w:tcPr>
          <w:p w:rsidR="00807E65" w:rsidRDefault="00807E65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807E65" w:rsidRDefault="00807E65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15:30 – 17:30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КЕЙС-СЕССИЯ. </w:t>
            </w:r>
          </w:p>
          <w:p w:rsidR="00222A82" w:rsidRDefault="00222A82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807E65" w:rsidRPr="00122A7B" w:rsidRDefault="00807E65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ЦЕЛИ УСТОЙЧИВОГО РАЗВИТИЯ В РАЗВИТИИ ГОРОДОВ И НАСЕЛЕННЫХ ПУНКТОВ </w:t>
            </w:r>
          </w:p>
        </w:tc>
      </w:tr>
      <w:tr w:rsidR="00222A82" w:rsidRPr="00122A7B" w:rsidTr="004E0761">
        <w:trPr>
          <w:trHeight w:val="20"/>
        </w:trPr>
        <w:tc>
          <w:tcPr>
            <w:tcW w:w="9498" w:type="dxa"/>
          </w:tcPr>
          <w:p w:rsidR="00222A82" w:rsidRPr="00122A7B" w:rsidRDefault="00222A82" w:rsidP="00222A8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</w:p>
          <w:p w:rsidR="00222A82" w:rsidRDefault="00222A82" w:rsidP="00222A8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B224D6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МОДЕРАТОРЫ</w:t>
            </w:r>
          </w:p>
          <w:p w:rsidR="00222A82" w:rsidRPr="00B224D6" w:rsidRDefault="00222A82" w:rsidP="000567AE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Александр </w:t>
            </w:r>
            <w:proofErr w:type="spellStart"/>
            <w:r w:rsidRPr="00B224D6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Подковыров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Pr="00B224D6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партнёр в проектный офис «Стратегии и практики устойчивого развития», г. Москва</w:t>
            </w:r>
          </w:p>
          <w:p w:rsidR="00222A82" w:rsidRPr="00B224D6" w:rsidRDefault="00222A82" w:rsidP="00222A82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B224D6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Юлия Данилова, </w:t>
            </w:r>
            <w:r w:rsidRPr="00B224D6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главный редактор Infopro54.ru, г. Новосибирск</w:t>
            </w:r>
          </w:p>
          <w:p w:rsidR="00222A82" w:rsidRDefault="00222A82" w:rsidP="00222A82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222A82" w:rsidRPr="00122A7B" w:rsidRDefault="00222A82" w:rsidP="00222A8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ТЕМЫ ДЛЯ ОБСУЖДЕНИЯ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Современные проблемы развития городов в привязке к целям устойчивого развития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Взаимосвязь бизнеса, власти и НКО в целях содействия развитию территорий. 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Оценка уровня устойчивого развития городов и территорий. Какие показатели и оценки используются?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Умные города — цифровые технологии в развитии городов и населенных пунктов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Роль бизнеса в области устойчивого развития. 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Вклад бизнеса в развитие регионов присутствия. </w:t>
            </w:r>
          </w:p>
          <w:p w:rsidR="00222A82" w:rsidRPr="00122A7B" w:rsidRDefault="00222A82" w:rsidP="00222A82">
            <w:pPr>
              <w:tabs>
                <w:tab w:val="left" w:pos="0"/>
              </w:tabs>
              <w:spacing w:after="0" w:line="240" w:lineRule="auto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</w:p>
          <w:p w:rsidR="00222A82" w:rsidRPr="00122A7B" w:rsidRDefault="00222A82" w:rsidP="00222A82">
            <w:pPr>
              <w:tabs>
                <w:tab w:val="left" w:pos="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УЧАСТНИКИ ДИСКУССИИ</w:t>
            </w:r>
          </w:p>
          <w:p w:rsidR="000567AE" w:rsidRDefault="00222A82" w:rsidP="00222A82">
            <w:pPr>
              <w:pStyle w:val="a3"/>
              <w:numPr>
                <w:ilvl w:val="0"/>
                <w:numId w:val="14"/>
              </w:numPr>
              <w:spacing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4D34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Елена Лещинская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</w:t>
            </w:r>
            <w:r w:rsidRPr="004D34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руководитель управления КСО и коммуникаций ООО «УК «</w:t>
            </w:r>
            <w:proofErr w:type="spellStart"/>
            <w:r w:rsidRPr="004D34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Сибантрац</w:t>
            </w:r>
            <w:r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ит</w:t>
            </w:r>
            <w:proofErr w:type="spellEnd"/>
            <w:r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», </w:t>
            </w:r>
          </w:p>
          <w:p w:rsidR="00222A82" w:rsidRPr="00122A7B" w:rsidRDefault="00222A82" w:rsidP="000567AE">
            <w:pPr>
              <w:pStyle w:val="a3"/>
              <w:spacing w:line="240" w:lineRule="auto"/>
              <w:ind w:left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г. Москва</w:t>
            </w:r>
          </w:p>
          <w:p w:rsidR="000567AE" w:rsidRPr="000567AE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Станислав </w:t>
            </w:r>
            <w:proofErr w:type="spellStart"/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Тишуров</w:t>
            </w:r>
            <w:proofErr w:type="spellEnd"/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д</w:t>
            </w:r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 xml:space="preserve">иректор Новосибирского регионального филиала </w:t>
            </w:r>
            <w:proofErr w:type="spellStart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Россельхозбанка</w:t>
            </w:r>
            <w:proofErr w:type="spellEnd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 xml:space="preserve">, </w:t>
            </w:r>
          </w:p>
          <w:p w:rsidR="00222A82" w:rsidRPr="000567AE" w:rsidRDefault="00222A82" w:rsidP="000567AE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0567AE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г. Новосибирск</w:t>
            </w:r>
          </w:p>
          <w:p w:rsidR="000567AE" w:rsidRPr="000567AE" w:rsidRDefault="00222A82" w:rsidP="000567AE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pacing w:line="240" w:lineRule="auto"/>
              <w:ind w:left="34" w:firstLine="0"/>
              <w:rPr>
                <w:rFonts w:ascii="Garamond" w:hAnsi="Garamond"/>
                <w:color w:val="2F5496" w:themeColor="accent5" w:themeShade="BF"/>
              </w:rPr>
            </w:pPr>
            <w:r w:rsidRPr="000567A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Дмитрий Шарков, </w:t>
            </w: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управляющий по корпоративным во</w:t>
            </w:r>
            <w:r w:rsidR="000567AE"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просам региона Сибирь и Дальний</w:t>
            </w:r>
          </w:p>
          <w:p w:rsidR="00222A82" w:rsidRPr="000567AE" w:rsidRDefault="00222A82" w:rsidP="000567AE">
            <w:pPr>
              <w:pStyle w:val="a3"/>
              <w:spacing w:line="240" w:lineRule="auto"/>
              <w:ind w:left="34"/>
              <w:rPr>
                <w:rFonts w:ascii="Garamond" w:hAnsi="Garamond"/>
                <w:color w:val="2F5496" w:themeColor="accent5" w:themeShade="BF"/>
              </w:rPr>
            </w:pP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Восток аффилированных компаний «Филип Моррис Интернэшнл» в России, председатель регионального представительства Национального </w:t>
            </w:r>
            <w:r w:rsidR="009B144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совета по корпоративному </w:t>
            </w:r>
            <w:proofErr w:type="spellStart"/>
            <w:r w:rsidR="009B144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волонтё</w:t>
            </w: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рству</w:t>
            </w:r>
            <w:proofErr w:type="spellEnd"/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в НСО, г. Новосибирск</w:t>
            </w:r>
          </w:p>
          <w:p w:rsidR="000567AE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DF7F1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Елена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Малицкая,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председатель комиссии ОП НСО по р</w:t>
            </w:r>
            <w:r w:rsid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азвитию общественных инициатив,</w:t>
            </w:r>
          </w:p>
          <w:p w:rsidR="00222A82" w:rsidRPr="000567AE" w:rsidRDefault="00222A82" w:rsidP="000567AE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благотворительности добровольчества и СО НКО, президент фонда «Сибирский Центр Поддержки Общественных Инициатив», г. Новосибирск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DF7F1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Артём </w:t>
            </w:r>
            <w:proofErr w:type="spellStart"/>
            <w:r w:rsidRPr="00DF7F1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Землянников</w:t>
            </w:r>
            <w:proofErr w:type="spellEnd"/>
            <w:r w:rsidRPr="00DF7F1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DF7F1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директор ООО «</w:t>
            </w:r>
            <w:proofErr w:type="spellStart"/>
            <w:r w:rsidRPr="00DF7F1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Экорекс</w:t>
            </w:r>
            <w:proofErr w:type="spellEnd"/>
            <w:r w:rsidRPr="00DF7F1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-Металл», г. Новосибирск</w:t>
            </w:r>
          </w:p>
          <w:p w:rsidR="00222A82" w:rsidRPr="004D347B" w:rsidRDefault="00222A82" w:rsidP="000567AE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pacing w:line="240" w:lineRule="auto"/>
              <w:ind w:left="34" w:hanging="34"/>
              <w:rPr>
                <w:rFonts w:ascii="Garamond" w:hAnsi="Garamond"/>
                <w:color w:val="2F5496" w:themeColor="accent5" w:themeShade="BF"/>
              </w:rPr>
            </w:pPr>
            <w:r w:rsidRPr="004D347B">
              <w:rPr>
                <w:rFonts w:ascii="Garamond" w:hAnsi="Garamond"/>
                <w:b/>
                <w:color w:val="2F5496" w:themeColor="accent5" w:themeShade="BF"/>
              </w:rPr>
              <w:t>Ольга Каверина</w:t>
            </w:r>
            <w:r>
              <w:rPr>
                <w:rFonts w:ascii="Garamond" w:hAnsi="Garamond"/>
                <w:b/>
                <w:color w:val="2F5496" w:themeColor="accent5" w:themeShade="BF"/>
              </w:rPr>
              <w:t xml:space="preserve">, </w:t>
            </w:r>
            <w:r w:rsidRPr="004D347B">
              <w:rPr>
                <w:rFonts w:ascii="Garamond" w:hAnsi="Garamond"/>
                <w:color w:val="2F5496" w:themeColor="accent5" w:themeShade="BF"/>
              </w:rPr>
              <w:t>менедж</w:t>
            </w:r>
            <w:bookmarkStart w:id="0" w:name="_GoBack"/>
            <w:bookmarkEnd w:id="0"/>
            <w:r w:rsidRPr="004D347B">
              <w:rPr>
                <w:rFonts w:ascii="Garamond" w:hAnsi="Garamond"/>
                <w:color w:val="2F5496" w:themeColor="accent5" w:themeShade="BF"/>
              </w:rPr>
              <w:t xml:space="preserve">ер по благотворительности и КСО </w:t>
            </w:r>
            <w:proofErr w:type="spellStart"/>
            <w:r w:rsidRPr="004D347B">
              <w:rPr>
                <w:rFonts w:ascii="Garamond" w:hAnsi="Garamond"/>
                <w:color w:val="2F5496" w:themeColor="accent5" w:themeShade="BF"/>
              </w:rPr>
              <w:t>PepsiC</w:t>
            </w:r>
            <w:r>
              <w:rPr>
                <w:rFonts w:ascii="Garamond" w:hAnsi="Garamond"/>
                <w:color w:val="2F5496" w:themeColor="accent5" w:themeShade="BF"/>
              </w:rPr>
              <w:t>o</w:t>
            </w:r>
            <w:proofErr w:type="spellEnd"/>
            <w:r>
              <w:rPr>
                <w:rFonts w:ascii="Garamond" w:hAnsi="Garamond"/>
                <w:color w:val="2F5496" w:themeColor="accent5" w:themeShade="BF"/>
              </w:rPr>
              <w:t xml:space="preserve"> Россия, СНГ, Украина и Грузия, г. Москва</w:t>
            </w:r>
          </w:p>
          <w:p w:rsidR="00222A82" w:rsidRPr="00222A82" w:rsidRDefault="00222A82" w:rsidP="00381D1E">
            <w:pPr>
              <w:pStyle w:val="a3"/>
              <w:numPr>
                <w:ilvl w:val="0"/>
                <w:numId w:val="14"/>
              </w:numPr>
              <w:spacing w:line="240" w:lineRule="auto"/>
              <w:ind w:left="176" w:hanging="142"/>
              <w:rPr>
                <w:rFonts w:ascii="Garamond" w:hAnsi="Garamond"/>
                <w:color w:val="2F5496" w:themeColor="accent5" w:themeShade="BF"/>
              </w:rPr>
            </w:pPr>
            <w:r w:rsidRPr="00222A82">
              <w:rPr>
                <w:rFonts w:ascii="Garamond" w:hAnsi="Garamond"/>
                <w:b/>
                <w:color w:val="2F5496" w:themeColor="accent5" w:themeShade="BF"/>
              </w:rPr>
              <w:t xml:space="preserve">Алексей </w:t>
            </w:r>
            <w:proofErr w:type="spellStart"/>
            <w:r w:rsidRPr="00222A82">
              <w:rPr>
                <w:rFonts w:ascii="Garamond" w:hAnsi="Garamond"/>
                <w:b/>
                <w:color w:val="2F5496" w:themeColor="accent5" w:themeShade="BF"/>
              </w:rPr>
              <w:t>Троеглазов</w:t>
            </w:r>
            <w:proofErr w:type="spellEnd"/>
            <w:r w:rsidRPr="00222A82">
              <w:rPr>
                <w:rFonts w:ascii="Garamond" w:hAnsi="Garamond"/>
                <w:b/>
                <w:color w:val="2F5496" w:themeColor="accent5" w:themeShade="BF"/>
              </w:rPr>
              <w:t>,</w:t>
            </w:r>
            <w:r w:rsidRPr="00222A82">
              <w:rPr>
                <w:rFonts w:ascii="Garamond" w:hAnsi="Garamond"/>
                <w:color w:val="2F5496" w:themeColor="accent5" w:themeShade="BF"/>
              </w:rPr>
              <w:t xml:space="preserve"> б</w:t>
            </w:r>
            <w:r w:rsidRPr="00222A82">
              <w:rPr>
                <w:rFonts w:ascii="Garamond" w:hAnsi="Garamond" w:cs="Calibri"/>
                <w:color w:val="2F5496" w:themeColor="accent5" w:themeShade="BF"/>
              </w:rPr>
              <w:t>изнес-партнер, отдел устойчивого развития ИКЕА Россия, г. Москва</w:t>
            </w:r>
          </w:p>
          <w:p w:rsidR="00222A82" w:rsidRPr="00DF7F1E" w:rsidRDefault="00222A82" w:rsidP="000567AE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Алла Мишина,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старший советник по внешним связям и устойчивому развитию </w:t>
            </w:r>
            <w:proofErr w:type="spellStart"/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val="en-US" w:eastAsia="ru-RU"/>
              </w:rPr>
              <w:t>Salym</w:t>
            </w:r>
            <w:proofErr w:type="spellEnd"/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val="en-US" w:eastAsia="ru-RU"/>
              </w:rPr>
              <w:t xml:space="preserve"> Petroleum Development N.V., 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г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val="en-US" w:eastAsia="ru-RU"/>
              </w:rPr>
              <w:t xml:space="preserve">. 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Москва</w:t>
            </w:r>
          </w:p>
        </w:tc>
      </w:tr>
      <w:tr w:rsidR="00222A82" w:rsidRPr="00122A7B" w:rsidTr="00514ECE">
        <w:trPr>
          <w:trHeight w:val="20"/>
        </w:trPr>
        <w:tc>
          <w:tcPr>
            <w:tcW w:w="9498" w:type="dxa"/>
          </w:tcPr>
          <w:p w:rsidR="00222A82" w:rsidRPr="00122A7B" w:rsidRDefault="00222A82" w:rsidP="00222A8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lastRenderedPageBreak/>
              <w:t>17:30 Окончание конференции</w:t>
            </w:r>
          </w:p>
        </w:tc>
      </w:tr>
    </w:tbl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A54B3D" w:rsidRDefault="00DF51AD" w:rsidP="00DF51AD">
      <w:pPr>
        <w:ind w:left="-567"/>
        <w:rPr>
          <w:rFonts w:ascii="Garamond" w:hAnsi="Garamond"/>
          <w:color w:val="2F5496" w:themeColor="accent5" w:themeShade="BF"/>
        </w:rPr>
      </w:pPr>
    </w:p>
    <w:p w:rsidR="00AF4922" w:rsidRPr="00122A7B" w:rsidRDefault="00AF4922" w:rsidP="00CF1FFC">
      <w:pPr>
        <w:tabs>
          <w:tab w:val="left" w:pos="142"/>
        </w:tabs>
        <w:spacing w:after="0" w:line="240" w:lineRule="auto"/>
        <w:ind w:left="-567"/>
        <w:contextualSpacing/>
        <w:jc w:val="right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sectPr w:rsidR="00AF4922" w:rsidRPr="00122A7B" w:rsidSect="000E061D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5643"/>
    <w:multiLevelType w:val="hybridMultilevel"/>
    <w:tmpl w:val="1592D50A"/>
    <w:lvl w:ilvl="0" w:tplc="0CD0017A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DB1"/>
    <w:multiLevelType w:val="hybridMultilevel"/>
    <w:tmpl w:val="4938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2CFC"/>
    <w:multiLevelType w:val="hybridMultilevel"/>
    <w:tmpl w:val="F6D85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6D05"/>
    <w:multiLevelType w:val="hybridMultilevel"/>
    <w:tmpl w:val="3B1ACBE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7123524"/>
    <w:multiLevelType w:val="hybridMultilevel"/>
    <w:tmpl w:val="027C8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D0017A">
      <w:numFmt w:val="bullet"/>
      <w:lvlText w:val="•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4F88"/>
    <w:multiLevelType w:val="hybridMultilevel"/>
    <w:tmpl w:val="C23A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1C61"/>
    <w:multiLevelType w:val="hybridMultilevel"/>
    <w:tmpl w:val="D9D0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97D34"/>
    <w:multiLevelType w:val="hybridMultilevel"/>
    <w:tmpl w:val="08C4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504B"/>
    <w:multiLevelType w:val="hybridMultilevel"/>
    <w:tmpl w:val="1DF4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E1430"/>
    <w:multiLevelType w:val="hybridMultilevel"/>
    <w:tmpl w:val="699AC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B4D10"/>
    <w:multiLevelType w:val="hybridMultilevel"/>
    <w:tmpl w:val="3650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FF1"/>
    <w:multiLevelType w:val="hybridMultilevel"/>
    <w:tmpl w:val="12C2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F7D4E"/>
    <w:multiLevelType w:val="hybridMultilevel"/>
    <w:tmpl w:val="06184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1189D"/>
    <w:multiLevelType w:val="hybridMultilevel"/>
    <w:tmpl w:val="335A7490"/>
    <w:lvl w:ilvl="0" w:tplc="100C1EE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500EE"/>
    <w:multiLevelType w:val="hybridMultilevel"/>
    <w:tmpl w:val="AFD2AF60"/>
    <w:lvl w:ilvl="0" w:tplc="0CD0017A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333E"/>
    <w:multiLevelType w:val="hybridMultilevel"/>
    <w:tmpl w:val="1B7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41408"/>
    <w:multiLevelType w:val="hybridMultilevel"/>
    <w:tmpl w:val="5874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77D40"/>
    <w:multiLevelType w:val="hybridMultilevel"/>
    <w:tmpl w:val="8914586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60A0193"/>
    <w:multiLevelType w:val="hybridMultilevel"/>
    <w:tmpl w:val="246453E6"/>
    <w:lvl w:ilvl="0" w:tplc="0CD0017A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009E8"/>
    <w:multiLevelType w:val="hybridMultilevel"/>
    <w:tmpl w:val="6DC82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96165"/>
    <w:multiLevelType w:val="hybridMultilevel"/>
    <w:tmpl w:val="6AA4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D18AF"/>
    <w:multiLevelType w:val="hybridMultilevel"/>
    <w:tmpl w:val="2BBE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522CE"/>
    <w:multiLevelType w:val="hybridMultilevel"/>
    <w:tmpl w:val="DBA61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0872"/>
    <w:multiLevelType w:val="hybridMultilevel"/>
    <w:tmpl w:val="AAA4CD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82E68BC"/>
    <w:multiLevelType w:val="hybridMultilevel"/>
    <w:tmpl w:val="82B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E0E94"/>
    <w:multiLevelType w:val="hybridMultilevel"/>
    <w:tmpl w:val="FC70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43B1D"/>
    <w:multiLevelType w:val="hybridMultilevel"/>
    <w:tmpl w:val="1A9C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A56F4"/>
    <w:multiLevelType w:val="hybridMultilevel"/>
    <w:tmpl w:val="12B06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9"/>
  </w:num>
  <w:num w:numId="5">
    <w:abstractNumId w:val="4"/>
  </w:num>
  <w:num w:numId="6">
    <w:abstractNumId w:val="26"/>
  </w:num>
  <w:num w:numId="7">
    <w:abstractNumId w:val="6"/>
  </w:num>
  <w:num w:numId="8">
    <w:abstractNumId w:val="13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11"/>
  </w:num>
  <w:num w:numId="14">
    <w:abstractNumId w:val="23"/>
  </w:num>
  <w:num w:numId="15">
    <w:abstractNumId w:val="20"/>
  </w:num>
  <w:num w:numId="16">
    <w:abstractNumId w:val="5"/>
  </w:num>
  <w:num w:numId="17">
    <w:abstractNumId w:val="7"/>
  </w:num>
  <w:num w:numId="18">
    <w:abstractNumId w:val="8"/>
  </w:num>
  <w:num w:numId="19">
    <w:abstractNumId w:val="15"/>
  </w:num>
  <w:num w:numId="20">
    <w:abstractNumId w:val="1"/>
  </w:num>
  <w:num w:numId="21">
    <w:abstractNumId w:val="21"/>
  </w:num>
  <w:num w:numId="22">
    <w:abstractNumId w:val="0"/>
  </w:num>
  <w:num w:numId="23">
    <w:abstractNumId w:val="18"/>
  </w:num>
  <w:num w:numId="24">
    <w:abstractNumId w:val="14"/>
  </w:num>
  <w:num w:numId="25">
    <w:abstractNumId w:val="24"/>
  </w:num>
  <w:num w:numId="26">
    <w:abstractNumId w:val="25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FD"/>
    <w:rsid w:val="00003814"/>
    <w:rsid w:val="00005FB4"/>
    <w:rsid w:val="00025369"/>
    <w:rsid w:val="00036F60"/>
    <w:rsid w:val="00056130"/>
    <w:rsid w:val="000567AE"/>
    <w:rsid w:val="000765C6"/>
    <w:rsid w:val="000B08E6"/>
    <w:rsid w:val="000E061D"/>
    <w:rsid w:val="00101F4C"/>
    <w:rsid w:val="00120709"/>
    <w:rsid w:val="0012230C"/>
    <w:rsid w:val="00122A7B"/>
    <w:rsid w:val="0014183D"/>
    <w:rsid w:val="00142211"/>
    <w:rsid w:val="0015586D"/>
    <w:rsid w:val="00194160"/>
    <w:rsid w:val="001E5012"/>
    <w:rsid w:val="00222A82"/>
    <w:rsid w:val="00230835"/>
    <w:rsid w:val="00246D95"/>
    <w:rsid w:val="00286EFC"/>
    <w:rsid w:val="002D3BCF"/>
    <w:rsid w:val="002D496F"/>
    <w:rsid w:val="002E15DE"/>
    <w:rsid w:val="00304A33"/>
    <w:rsid w:val="003642DC"/>
    <w:rsid w:val="00393A70"/>
    <w:rsid w:val="003D2E94"/>
    <w:rsid w:val="003D5015"/>
    <w:rsid w:val="003F0217"/>
    <w:rsid w:val="00412584"/>
    <w:rsid w:val="0043023C"/>
    <w:rsid w:val="00457726"/>
    <w:rsid w:val="00462D84"/>
    <w:rsid w:val="004763C9"/>
    <w:rsid w:val="00485445"/>
    <w:rsid w:val="00493EA2"/>
    <w:rsid w:val="00494BA9"/>
    <w:rsid w:val="004A29E8"/>
    <w:rsid w:val="004B7ADE"/>
    <w:rsid w:val="004C7716"/>
    <w:rsid w:val="004D347B"/>
    <w:rsid w:val="00506F47"/>
    <w:rsid w:val="00516F1B"/>
    <w:rsid w:val="005466FE"/>
    <w:rsid w:val="005A4489"/>
    <w:rsid w:val="005E5EF7"/>
    <w:rsid w:val="005F3B77"/>
    <w:rsid w:val="00617B73"/>
    <w:rsid w:val="00633105"/>
    <w:rsid w:val="00634552"/>
    <w:rsid w:val="006675E1"/>
    <w:rsid w:val="006677D6"/>
    <w:rsid w:val="00684CEA"/>
    <w:rsid w:val="006E3F92"/>
    <w:rsid w:val="007111FA"/>
    <w:rsid w:val="0076382F"/>
    <w:rsid w:val="00773A73"/>
    <w:rsid w:val="0079627E"/>
    <w:rsid w:val="007D363F"/>
    <w:rsid w:val="007F3586"/>
    <w:rsid w:val="00807E65"/>
    <w:rsid w:val="00843ECA"/>
    <w:rsid w:val="00847FBE"/>
    <w:rsid w:val="008536AF"/>
    <w:rsid w:val="00860DD3"/>
    <w:rsid w:val="00867855"/>
    <w:rsid w:val="0087658A"/>
    <w:rsid w:val="00887341"/>
    <w:rsid w:val="00983DFC"/>
    <w:rsid w:val="009B1445"/>
    <w:rsid w:val="009D1402"/>
    <w:rsid w:val="009E26D8"/>
    <w:rsid w:val="009E2BD5"/>
    <w:rsid w:val="009F38F6"/>
    <w:rsid w:val="009F7301"/>
    <w:rsid w:val="00A13451"/>
    <w:rsid w:val="00A3178D"/>
    <w:rsid w:val="00A329D2"/>
    <w:rsid w:val="00A50680"/>
    <w:rsid w:val="00A54B3D"/>
    <w:rsid w:val="00A658AD"/>
    <w:rsid w:val="00AA1828"/>
    <w:rsid w:val="00AF4922"/>
    <w:rsid w:val="00B036DF"/>
    <w:rsid w:val="00B1050E"/>
    <w:rsid w:val="00B134BC"/>
    <w:rsid w:val="00B224D6"/>
    <w:rsid w:val="00B4519D"/>
    <w:rsid w:val="00B527CD"/>
    <w:rsid w:val="00B9434B"/>
    <w:rsid w:val="00BA4767"/>
    <w:rsid w:val="00C22CE2"/>
    <w:rsid w:val="00C3084F"/>
    <w:rsid w:val="00C60D87"/>
    <w:rsid w:val="00C65AD8"/>
    <w:rsid w:val="00C6751C"/>
    <w:rsid w:val="00CC786A"/>
    <w:rsid w:val="00CF1FFC"/>
    <w:rsid w:val="00D417E0"/>
    <w:rsid w:val="00D47A1B"/>
    <w:rsid w:val="00D56641"/>
    <w:rsid w:val="00D577E0"/>
    <w:rsid w:val="00DB34FD"/>
    <w:rsid w:val="00DF51AD"/>
    <w:rsid w:val="00DF7F1E"/>
    <w:rsid w:val="00E17C43"/>
    <w:rsid w:val="00E80549"/>
    <w:rsid w:val="00E85898"/>
    <w:rsid w:val="00ED7E87"/>
    <w:rsid w:val="00EE5EDD"/>
    <w:rsid w:val="00EE6770"/>
    <w:rsid w:val="00EF072D"/>
    <w:rsid w:val="00F71B55"/>
    <w:rsid w:val="00F72EC5"/>
    <w:rsid w:val="00FB33DB"/>
    <w:rsid w:val="00F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494C-A60A-4BAA-8540-39D54F53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F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445"/>
    <w:rPr>
      <w:rFonts w:ascii="Segoe UI" w:eastAsiaTheme="minorEastAsia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023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0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41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416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4160"/>
    <w:rPr>
      <w:rFonts w:eastAsiaTheme="minorEastAsi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41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4160"/>
    <w:rPr>
      <w:rFonts w:eastAsiaTheme="minorEastAsia"/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867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pro5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F506-4EC0-412A-9D47-9FFDC511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Инфопро1</cp:lastModifiedBy>
  <cp:revision>8</cp:revision>
  <cp:lastPrinted>2021-09-10T08:07:00Z</cp:lastPrinted>
  <dcterms:created xsi:type="dcterms:W3CDTF">2021-09-10T08:08:00Z</dcterms:created>
  <dcterms:modified xsi:type="dcterms:W3CDTF">2021-09-13T06:45:00Z</dcterms:modified>
</cp:coreProperties>
</file>